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708"/>
        <w:jc w:val="center"/>
        <w:rPr>
          <w:b w:val="1"/>
          <w:sz w:val="32"/>
          <w:szCs w:val="32"/>
        </w:rPr>
      </w:pPr>
      <w:r w:rsidDel="00000000" w:rsidR="00000000" w:rsidRPr="00000000">
        <w:rPr>
          <w:b w:val="1"/>
          <w:sz w:val="32"/>
          <w:szCs w:val="32"/>
          <w:rtl w:val="0"/>
        </w:rPr>
        <w:t xml:space="preserve">Уважаемые дамы и господа!</w:t>
      </w:r>
    </w:p>
    <w:p w:rsidR="00000000" w:rsidDel="00000000" w:rsidP="00000000" w:rsidRDefault="00000000" w:rsidRPr="00000000" w14:paraId="00000002">
      <w:pPr>
        <w:ind w:firstLine="708"/>
        <w:jc w:val="center"/>
        <w:rPr>
          <w:b w:val="1"/>
          <w:sz w:val="32"/>
          <w:szCs w:val="32"/>
        </w:rPr>
      </w:pPr>
      <w:r w:rsidDel="00000000" w:rsidR="00000000" w:rsidRPr="00000000">
        <w:rPr>
          <w:b w:val="1"/>
          <w:sz w:val="32"/>
          <w:szCs w:val="32"/>
          <w:rtl w:val="0"/>
        </w:rPr>
        <w:t xml:space="preserve">Уважаемые коллеги!</w:t>
      </w:r>
    </w:p>
    <w:p w:rsidR="00000000" w:rsidDel="00000000" w:rsidP="00000000" w:rsidRDefault="00000000" w:rsidRPr="00000000" w14:paraId="00000003">
      <w:pPr>
        <w:ind w:hanging="567"/>
        <w:jc w:val="both"/>
        <w:rPr>
          <w:sz w:val="32"/>
          <w:szCs w:val="32"/>
        </w:rPr>
      </w:pPr>
      <w:r w:rsidDel="00000000" w:rsidR="00000000" w:rsidRPr="00000000">
        <w:rPr>
          <w:rtl w:val="0"/>
        </w:rPr>
      </w:r>
    </w:p>
    <w:p w:rsidR="00000000" w:rsidDel="00000000" w:rsidP="00000000" w:rsidRDefault="00000000" w:rsidRPr="00000000" w14:paraId="00000004">
      <w:pPr>
        <w:ind w:hanging="567"/>
        <w:jc w:val="both"/>
        <w:rPr>
          <w:sz w:val="28"/>
          <w:szCs w:val="28"/>
        </w:rPr>
      </w:pPr>
      <w:r w:rsidDel="00000000" w:rsidR="00000000" w:rsidRPr="00000000">
        <w:rPr>
          <w:sz w:val="28"/>
          <w:szCs w:val="28"/>
          <w:rtl w:val="0"/>
        </w:rPr>
        <w:t xml:space="preserve">        От имени Министерства финансов и экономики Туркменистана рад приветствовать вас на заседании Стратегических аспектов управления водными ресурсами в Центральной Азии </w:t>
      </w:r>
    </w:p>
    <w:p w:rsidR="00000000" w:rsidDel="00000000" w:rsidP="00000000" w:rsidRDefault="00000000" w:rsidRPr="00000000" w14:paraId="00000005">
      <w:pPr>
        <w:ind w:left="-567" w:firstLine="567"/>
        <w:jc w:val="both"/>
        <w:rPr>
          <w:sz w:val="28"/>
          <w:szCs w:val="28"/>
        </w:rPr>
      </w:pPr>
      <w:r w:rsidDel="00000000" w:rsidR="00000000" w:rsidRPr="00000000">
        <w:rPr>
          <w:sz w:val="28"/>
          <w:szCs w:val="28"/>
          <w:rtl w:val="0"/>
        </w:rPr>
        <w:t xml:space="preserve">По географическому положению  Туркменистан  расположен в аридной зоне, 80% территории которой  занимает пустыня. Поэтому  бережное  и эффективное использование воды является одной из важнейших задач народного хозяйства  и агропромышленного комплекса. В Туркменистане  водные ресурсы в основном  используются в сельском  хозяйстве  по выращиванию и производству стратегических  сельскохозяйственных  культур. В наших условиях в основном при выращивании сельскохозяйственных  культур,  водные ресурсы  используются  по бороздам. В условиях рационального использования водных ресурсов  в cтране применяется капельное  орошения для многолетних  деревьев и виноградников. Также расматриваются вопросы дождевального способа орошения. </w:t>
      </w:r>
    </w:p>
    <w:p w:rsidR="00000000" w:rsidDel="00000000" w:rsidP="00000000" w:rsidRDefault="00000000" w:rsidRPr="00000000" w14:paraId="00000006">
      <w:pPr>
        <w:ind w:left="-567" w:firstLine="567"/>
        <w:jc w:val="both"/>
        <w:rPr>
          <w:sz w:val="28"/>
          <w:szCs w:val="28"/>
        </w:rPr>
      </w:pPr>
      <w:r w:rsidDel="00000000" w:rsidR="00000000" w:rsidRPr="00000000">
        <w:rPr>
          <w:sz w:val="28"/>
          <w:szCs w:val="28"/>
          <w:rtl w:val="0"/>
        </w:rPr>
        <w:t xml:space="preserve">Ключевой задачей развития Туркменистана в настоящее время является переход к модели динамичногtо и устойчивого экономического роста,  увеличения степени конкурентной способности национальной экономики, диверсификации производства и экспорта. </w:t>
      </w:r>
    </w:p>
    <w:p w:rsidR="00000000" w:rsidDel="00000000" w:rsidP="00000000" w:rsidRDefault="00000000" w:rsidRPr="00000000" w14:paraId="00000007">
      <w:pPr>
        <w:ind w:left="-567" w:firstLine="0"/>
        <w:jc w:val="both"/>
        <w:rPr>
          <w:sz w:val="28"/>
          <w:szCs w:val="28"/>
        </w:rPr>
      </w:pPr>
      <w:r w:rsidDel="00000000" w:rsidR="00000000" w:rsidRPr="00000000">
        <w:rPr>
          <w:sz w:val="28"/>
          <w:szCs w:val="28"/>
          <w:rtl w:val="0"/>
        </w:rPr>
        <w:t xml:space="preserve">        Важным инструментом достижения указанных целей являются государственные и целевые программы развития позволяющие в рамках программно-целевого метода конкретизировать усилия для комплексного и системного решения среднесрочных и долгосрочных проблем экономической и социальной политики страны. </w:t>
      </w:r>
    </w:p>
    <w:p w:rsidR="00000000" w:rsidDel="00000000" w:rsidP="00000000" w:rsidRDefault="00000000" w:rsidRPr="00000000" w14:paraId="00000008">
      <w:pPr>
        <w:ind w:left="-567" w:firstLine="0"/>
        <w:jc w:val="both"/>
        <w:rPr>
          <w:sz w:val="28"/>
          <w:szCs w:val="28"/>
        </w:rPr>
      </w:pPr>
      <w:r w:rsidDel="00000000" w:rsidR="00000000" w:rsidRPr="00000000">
        <w:rPr>
          <w:sz w:val="28"/>
          <w:szCs w:val="28"/>
          <w:rtl w:val="0"/>
        </w:rPr>
        <w:t xml:space="preserve">         Туркменистан как динамично развивающееся государство широко использует программно-целевой метод планирования. Первым опытом программно-целевого планирования можно считать принятие в 1992 году программы "Зерно". Реализация данной программы позволила увеличить объемы производства пшеницы в стране с 0,2 млн. тонн до 1,6 млн. тонн в год. В настоящее время продовольственные потребности страны в зерне полностью покрываются за счет внутреннего производства.    </w:t>
      </w:r>
    </w:p>
    <w:p w:rsidR="00000000" w:rsidDel="00000000" w:rsidP="00000000" w:rsidRDefault="00000000" w:rsidRPr="00000000" w14:paraId="00000009">
      <w:pPr>
        <w:ind w:left="-567" w:firstLine="567"/>
        <w:jc w:val="both"/>
        <w:rPr>
          <w:sz w:val="28"/>
          <w:szCs w:val="28"/>
        </w:rPr>
      </w:pPr>
      <w:r w:rsidDel="00000000" w:rsidR="00000000" w:rsidRPr="00000000">
        <w:rPr>
          <w:sz w:val="28"/>
          <w:szCs w:val="28"/>
          <w:rtl w:val="0"/>
        </w:rPr>
        <w:t xml:space="preserve">  Основной стратегической долгосрочной программой страны является Национальная программа социально-экономического развития Туркменистана на 2011-2030 годы.  Все остальные среднесрочные программы разрабатываются в параметрах вышеуказанного стратегического документа. </w:t>
      </w:r>
    </w:p>
    <w:p w:rsidR="00000000" w:rsidDel="00000000" w:rsidP="00000000" w:rsidRDefault="00000000" w:rsidRPr="00000000" w14:paraId="0000000A">
      <w:pPr>
        <w:ind w:left="-567" w:firstLine="0"/>
        <w:jc w:val="both"/>
        <w:rPr>
          <w:sz w:val="28"/>
          <w:szCs w:val="28"/>
        </w:rPr>
      </w:pPr>
      <w:r w:rsidDel="00000000" w:rsidR="00000000" w:rsidRPr="00000000">
        <w:rPr>
          <w:sz w:val="28"/>
          <w:szCs w:val="28"/>
          <w:rtl w:val="0"/>
        </w:rPr>
        <w:t xml:space="preserve">          В 2019 году принята программа Президента Туркменистана по социально-экономическому развитию страны на 2019-2025 годы. Также в стране реализуются программы развития сельских населенных пунктов, генеральная программа обеспечения населения Туркменистана чистой питьевой водой, лесная программа, программы импорта замещения и повышения экспортного потенциала и другие.   </w:t>
      </w:r>
    </w:p>
    <w:p w:rsidR="00000000" w:rsidDel="00000000" w:rsidP="00000000" w:rsidRDefault="00000000" w:rsidRPr="00000000" w14:paraId="0000000B">
      <w:pPr>
        <w:ind w:left="-567" w:firstLine="0"/>
        <w:jc w:val="both"/>
        <w:rPr>
          <w:sz w:val="28"/>
          <w:szCs w:val="28"/>
        </w:rPr>
      </w:pPr>
      <w:r w:rsidDel="00000000" w:rsidR="00000000" w:rsidRPr="00000000">
        <w:rPr>
          <w:sz w:val="28"/>
          <w:szCs w:val="28"/>
          <w:rtl w:val="0"/>
        </w:rPr>
        <w:t xml:space="preserve">         В стране принят «Водный кодекс Туркменистана» который реализуют отношения в области рационального использования водных ресурсов.</w:t>
      </w:r>
    </w:p>
    <w:p w:rsidR="00000000" w:rsidDel="00000000" w:rsidP="00000000" w:rsidRDefault="00000000" w:rsidRPr="00000000" w14:paraId="0000000C">
      <w:pPr>
        <w:ind w:left="-567" w:firstLine="0"/>
        <w:jc w:val="both"/>
        <w:rPr>
          <w:sz w:val="28"/>
          <w:szCs w:val="28"/>
        </w:rPr>
      </w:pPr>
      <w:bookmarkStart w:colFirst="0" w:colLast="0" w:name="_heading=h.gjdgxs" w:id="0"/>
      <w:bookmarkEnd w:id="0"/>
      <w:r w:rsidDel="00000000" w:rsidR="00000000" w:rsidRPr="00000000">
        <w:rPr>
          <w:sz w:val="28"/>
          <w:szCs w:val="28"/>
          <w:rtl w:val="0"/>
        </w:rPr>
        <w:t xml:space="preserve">      </w:t>
      </w:r>
      <w:r w:rsidDel="00000000" w:rsidR="00000000" w:rsidRPr="00000000">
        <w:rPr>
          <w:color w:val="ff0000"/>
          <w:sz w:val="28"/>
          <w:szCs w:val="28"/>
          <w:rtl w:val="0"/>
        </w:rPr>
        <w:t xml:space="preserve">  </w:t>
      </w:r>
      <w:r w:rsidDel="00000000" w:rsidR="00000000" w:rsidRPr="00000000">
        <w:rPr>
          <w:sz w:val="28"/>
          <w:szCs w:val="28"/>
          <w:rtl w:val="0"/>
        </w:rPr>
        <w:t xml:space="preserve">Анализ перечней строек и объектов реализуемых в Туркменистане программ показывает, что в них присутствуют проекты при планировании и реализации которых могут быть использованы возможности многосекторального планирования и финансирования путем усиления взаимосвязи «вода-энергия-продовольствие и экология». Реализация наибольшего количество таких проектов предусмотрена в программах перспективного развитие сельскохозяйственного комплекса Туркменистана и в том числе водного хозяйства. Наиболее крупным проектом является строительство Туркменского Озера Алтын Асыр. Основной целью данного проекта является организация сбора загрязненных коллекторно-дренажных вод со всей территории Туркменистана в единый водоприемник.  В связи с этим проектом предусмотрено строительство двух магистральных коллекторов - Главный коллектор объединяющий коллекторно-дренажные сети южных велятов страны в единую систему и Дашогузский ввод организующих отвод коллекторно- дренажных вод с территории Дашогузскеого велаята.  Общая протяженность магистральных коллекторов составит более 1000 км и позволит в перспективе отвести коллектороно-дренажные воды с орошаемых территорий в объеме около 10 км</w:t>
      </w:r>
      <w:r w:rsidDel="00000000" w:rsidR="00000000" w:rsidRPr="00000000">
        <w:rPr>
          <w:sz w:val="28"/>
          <w:szCs w:val="28"/>
          <w:vertAlign w:val="superscript"/>
          <w:rtl w:val="0"/>
        </w:rPr>
        <w:t xml:space="preserve">3</w:t>
      </w:r>
      <w:r w:rsidDel="00000000" w:rsidR="00000000" w:rsidRPr="00000000">
        <w:rPr>
          <w:sz w:val="28"/>
          <w:szCs w:val="28"/>
          <w:rtl w:val="0"/>
        </w:rPr>
        <w:t xml:space="preserve"> в год.</w:t>
      </w:r>
    </w:p>
    <w:p w:rsidR="00000000" w:rsidDel="00000000" w:rsidP="00000000" w:rsidRDefault="00000000" w:rsidRPr="00000000" w14:paraId="0000000D">
      <w:pPr>
        <w:ind w:left="-567" w:firstLine="0"/>
        <w:jc w:val="both"/>
        <w:rPr>
          <w:sz w:val="28"/>
          <w:szCs w:val="28"/>
        </w:rPr>
      </w:pPr>
      <w:r w:rsidDel="00000000" w:rsidR="00000000" w:rsidRPr="00000000">
        <w:rPr>
          <w:color w:val="000000"/>
          <w:sz w:val="28"/>
          <w:szCs w:val="28"/>
          <w:rtl w:val="0"/>
        </w:rPr>
        <w:t xml:space="preserve">        Создание Туркменского озера </w:t>
      </w:r>
      <w:r w:rsidDel="00000000" w:rsidR="00000000" w:rsidRPr="00000000">
        <w:rPr>
          <w:sz w:val="28"/>
          <w:szCs w:val="28"/>
          <w:rtl w:val="0"/>
        </w:rPr>
        <w:t xml:space="preserve">Алтын Асыр</w:t>
      </w:r>
      <w:r w:rsidDel="00000000" w:rsidR="00000000" w:rsidRPr="00000000">
        <w:rPr>
          <w:color w:val="000000"/>
          <w:sz w:val="28"/>
          <w:szCs w:val="28"/>
          <w:rtl w:val="0"/>
        </w:rPr>
        <w:t xml:space="preserve"> позволит: прекратить сброс коллекторно-дренажных вод в реку Амударью, что позволит улучшить качество речной воды используемой в том числе на питьевые нужды в нижнем течении реки, улучшится мелиоративное состояние орошаемых земель, возвратить в сельхозоборот 4000 км</w:t>
      </w:r>
      <w:r w:rsidDel="00000000" w:rsidR="00000000" w:rsidRPr="00000000">
        <w:rPr>
          <w:color w:val="000000"/>
          <w:sz w:val="28"/>
          <w:szCs w:val="28"/>
          <w:vertAlign w:val="superscript"/>
          <w:rtl w:val="0"/>
        </w:rPr>
        <w:t xml:space="preserve">2</w:t>
      </w:r>
      <w:r w:rsidDel="00000000" w:rsidR="00000000" w:rsidRPr="00000000">
        <w:rPr>
          <w:color w:val="000000"/>
          <w:sz w:val="28"/>
          <w:szCs w:val="28"/>
          <w:rtl w:val="0"/>
        </w:rPr>
        <w:t xml:space="preserve"> ранее затопленных пустынных пастбищ, создать резерв водных ресурсов которые в перспективе после соответствующей очистки, в том числе с применением альтернативных источников энергии  будут повторно использованы, обводнить около 1,3 млн. га пустынных пастбищ, улучшить экологию пустыни,</w:t>
      </w:r>
      <w:r w:rsidDel="00000000" w:rsidR="00000000" w:rsidRPr="00000000">
        <w:rPr>
          <w:rFonts w:ascii="Verdana" w:cs="Verdana" w:eastAsia="Verdana" w:hAnsi="Verdana"/>
          <w:color w:val="000000"/>
          <w:sz w:val="20"/>
          <w:szCs w:val="20"/>
          <w:rtl w:val="0"/>
        </w:rPr>
        <w:t xml:space="preserve"> </w:t>
      </w:r>
      <w:r w:rsidDel="00000000" w:rsidR="00000000" w:rsidRPr="00000000">
        <w:rPr>
          <w:color w:val="000000"/>
          <w:sz w:val="28"/>
          <w:szCs w:val="28"/>
          <w:rtl w:val="0"/>
        </w:rPr>
        <w:t xml:space="preserve">создать условия для развития рыбного хозяйства и т.д. </w:t>
      </w:r>
      <w:r w:rsidDel="00000000" w:rsidR="00000000" w:rsidRPr="00000000">
        <w:rPr>
          <w:rtl w:val="0"/>
        </w:rPr>
      </w:r>
    </w:p>
    <w:p w:rsidR="00000000" w:rsidDel="00000000" w:rsidP="00000000" w:rsidRDefault="00000000" w:rsidRPr="00000000" w14:paraId="0000000E">
      <w:pPr>
        <w:ind w:left="-567" w:firstLine="0"/>
        <w:jc w:val="both"/>
        <w:rPr>
          <w:sz w:val="28"/>
          <w:szCs w:val="28"/>
        </w:rPr>
      </w:pPr>
      <w:r w:rsidDel="00000000" w:rsidR="00000000" w:rsidRPr="00000000">
        <w:rPr>
          <w:sz w:val="28"/>
          <w:szCs w:val="28"/>
          <w:rtl w:val="0"/>
        </w:rPr>
        <w:t xml:space="preserve">        Имеются и другие объекты в которых имеется взаимосвязь воды, энергии, продовольствия и экологии. Это прежде всего работы связанные с мелиоративным улучшением земель существующего орошения, комплексной реконструкцией орошаемых земель, внедрением прогрессивных технологий полива таких как капельное орошение и дождевание, строительством водохранилищ сезонного и многолетнего регулирования стока, обводнением пастбищ, строительством теплиц с применением альтернативных источников энергии и др.</w:t>
      </w:r>
    </w:p>
    <w:p w:rsidR="00000000" w:rsidDel="00000000" w:rsidP="00000000" w:rsidRDefault="00000000" w:rsidRPr="00000000" w14:paraId="0000000F">
      <w:pPr>
        <w:ind w:left="-567" w:firstLine="0"/>
        <w:jc w:val="both"/>
        <w:rPr>
          <w:color w:val="222222"/>
          <w:sz w:val="28"/>
          <w:szCs w:val="28"/>
          <w:highlight w:val="white"/>
        </w:rPr>
      </w:pPr>
      <w:r w:rsidDel="00000000" w:rsidR="00000000" w:rsidRPr="00000000">
        <w:rPr>
          <w:color w:val="222222"/>
          <w:sz w:val="28"/>
          <w:szCs w:val="28"/>
          <w:highlight w:val="white"/>
          <w:rtl w:val="0"/>
        </w:rPr>
        <w:t xml:space="preserve">         Туркменистан вносит свой достойный вклад в решение глобальных вопросов рационального водопользования и занимает активную позицию в расширении  международного партнерства в этом вопросе. Страна соблюдает взятые на себя обязательства, ратифицировав основополагающие природоохранные соглашения ООН, в том числе Конвенцию по охране и использованию трансграничных водотоков и международных озер, Рамсарскую конвенцию о водно-болотных угодьях, об охране всемирного  культурного и природного наследия ЮНЕСКО, а также Парижское Соглашение по изменению климата.</w:t>
      </w:r>
    </w:p>
    <w:p w:rsidR="00000000" w:rsidDel="00000000" w:rsidP="00000000" w:rsidRDefault="00000000" w:rsidRPr="00000000" w14:paraId="00000010">
      <w:pPr>
        <w:ind w:left="-567" w:firstLine="0"/>
        <w:jc w:val="both"/>
        <w:rPr>
          <w:color w:val="222222"/>
          <w:sz w:val="28"/>
          <w:szCs w:val="28"/>
          <w:highlight w:val="white"/>
        </w:rPr>
      </w:pPr>
      <w:r w:rsidDel="00000000" w:rsidR="00000000" w:rsidRPr="00000000">
        <w:rPr>
          <w:color w:val="222222"/>
          <w:sz w:val="28"/>
          <w:szCs w:val="28"/>
          <w:highlight w:val="white"/>
          <w:rtl w:val="0"/>
        </w:rPr>
        <w:t xml:space="preserve">         В 2018 году на 73-сессии Генеральной Ассамблеи ООН Президент Туркменистана Гурбангулы Бердымухамедов  обозначил в числе  важнейших тем сотрудничества стран региона  с международным сообществом проблему спасения Аральского моря и призвал государства  поддержать инициативу  Туркменистана о разработке Специальной программы ООН по Аральскому морю и выделении Аральской проблематики в отдельное направление деятельности мирового сообщества.</w:t>
      </w:r>
    </w:p>
    <w:p w:rsidR="00000000" w:rsidDel="00000000" w:rsidP="00000000" w:rsidRDefault="00000000" w:rsidRPr="00000000" w14:paraId="00000011">
      <w:pPr>
        <w:ind w:left="-567" w:firstLine="567"/>
        <w:jc w:val="both"/>
        <w:rPr>
          <w:color w:val="222222"/>
          <w:sz w:val="28"/>
          <w:szCs w:val="28"/>
          <w:highlight w:val="white"/>
        </w:rPr>
      </w:pPr>
      <w:r w:rsidDel="00000000" w:rsidR="00000000" w:rsidRPr="00000000">
        <w:rPr>
          <w:color w:val="222222"/>
          <w:sz w:val="28"/>
          <w:szCs w:val="28"/>
          <w:highlight w:val="white"/>
          <w:rtl w:val="0"/>
        </w:rPr>
        <w:t xml:space="preserve"> С июня 2017 года по декабрь 2019 года Туркменистан был председателем Исполкомом МФСА   тесно сотрудничал с  Региональным Экологическим Центром Центральной Азии.</w:t>
      </w:r>
    </w:p>
    <w:p w:rsidR="00000000" w:rsidDel="00000000" w:rsidP="00000000" w:rsidRDefault="00000000" w:rsidRPr="00000000" w14:paraId="00000012">
      <w:pPr>
        <w:ind w:left="-567" w:firstLine="0"/>
        <w:jc w:val="both"/>
        <w:rPr>
          <w:sz w:val="28"/>
          <w:szCs w:val="28"/>
        </w:rPr>
      </w:pPr>
      <w:r w:rsidDel="00000000" w:rsidR="00000000" w:rsidRPr="00000000">
        <w:rPr>
          <w:sz w:val="28"/>
          <w:szCs w:val="28"/>
          <w:rtl w:val="0"/>
        </w:rPr>
        <w:t xml:space="preserve">      Реализация этого проекта позволит повысить у представителей ключевых министерств и ведомств страны уровень понимания сложных и динамичных связей между водой, энергией, продовольствием и экологией и то, что применение может дать наибольший социально-экономический эффект.</w:t>
      </w:r>
    </w:p>
    <w:p w:rsidR="00000000" w:rsidDel="00000000" w:rsidP="00000000" w:rsidRDefault="00000000" w:rsidRPr="00000000" w14:paraId="00000013">
      <w:pPr>
        <w:ind w:left="-567" w:firstLine="567"/>
        <w:jc w:val="both"/>
        <w:rPr>
          <w:sz w:val="28"/>
          <w:szCs w:val="28"/>
        </w:rPr>
      </w:pPr>
      <w:r w:rsidDel="00000000" w:rsidR="00000000" w:rsidRPr="00000000">
        <w:rPr>
          <w:rtl w:val="0"/>
        </w:rPr>
      </w:r>
    </w:p>
    <w:p w:rsidR="00000000" w:rsidDel="00000000" w:rsidP="00000000" w:rsidRDefault="00000000" w:rsidRPr="00000000" w14:paraId="00000014">
      <w:pPr>
        <w:ind w:firstLine="578"/>
        <w:jc w:val="both"/>
        <w:rPr>
          <w:sz w:val="32"/>
          <w:szCs w:val="32"/>
        </w:rPr>
      </w:pPr>
      <w:r w:rsidDel="00000000" w:rsidR="00000000" w:rsidRPr="00000000">
        <w:rPr>
          <w:rtl w:val="0"/>
        </w:rPr>
      </w:r>
    </w:p>
    <w:p w:rsidR="00000000" w:rsidDel="00000000" w:rsidP="00000000" w:rsidRDefault="00000000" w:rsidRPr="00000000" w14:paraId="00000015">
      <w:pPr>
        <w:ind w:firstLine="578"/>
        <w:jc w:val="both"/>
        <w:rPr>
          <w:sz w:val="28"/>
          <w:szCs w:val="28"/>
        </w:rPr>
      </w:pPr>
      <w:r w:rsidDel="00000000" w:rsidR="00000000" w:rsidRPr="00000000">
        <w:rPr>
          <w:rtl w:val="0"/>
        </w:rPr>
      </w:r>
    </w:p>
    <w:p w:rsidR="00000000" w:rsidDel="00000000" w:rsidP="00000000" w:rsidRDefault="00000000" w:rsidRPr="00000000" w14:paraId="00000016">
      <w:pPr>
        <w:ind w:left="-567" w:firstLine="0"/>
        <w:jc w:val="both"/>
        <w:rPr>
          <w:b w:val="1"/>
          <w:color w:val="000000"/>
          <w:sz w:val="28"/>
          <w:szCs w:val="28"/>
        </w:rPr>
      </w:pPr>
      <w:r w:rsidDel="00000000" w:rsidR="00000000" w:rsidRPr="00000000">
        <w:rPr>
          <w:sz w:val="28"/>
          <w:szCs w:val="28"/>
          <w:rtl w:val="0"/>
        </w:rPr>
        <w:t xml:space="preserve">        </w:t>
      </w:r>
      <w:r w:rsidDel="00000000" w:rsidR="00000000" w:rsidRPr="00000000">
        <w:rPr>
          <w:b w:val="1"/>
          <w:color w:val="000000"/>
          <w:sz w:val="28"/>
          <w:szCs w:val="28"/>
          <w:rtl w:val="0"/>
        </w:rPr>
        <w:t xml:space="preserve">Благодарю за внимание</w:t>
      </w:r>
    </w:p>
    <w:p w:rsidR="00000000" w:rsidDel="00000000" w:rsidP="00000000" w:rsidRDefault="00000000" w:rsidRPr="00000000" w14:paraId="00000017">
      <w:pPr>
        <w:ind w:left="-567" w:firstLine="0"/>
        <w:jc w:val="both"/>
        <w:rPr>
          <w:sz w:val="32"/>
          <w:szCs w:val="32"/>
        </w:rPr>
      </w:pPr>
      <w:r w:rsidDel="00000000" w:rsidR="00000000" w:rsidRPr="00000000">
        <w:rPr>
          <w:rtl w:val="0"/>
        </w:rPr>
      </w:r>
    </w:p>
    <w:p w:rsidR="00000000" w:rsidDel="00000000" w:rsidP="00000000" w:rsidRDefault="00000000" w:rsidRPr="00000000" w14:paraId="00000018">
      <w:pPr>
        <w:ind w:firstLine="578"/>
        <w:jc w:val="both"/>
        <w:rPr>
          <w:sz w:val="32"/>
          <w:szCs w:val="32"/>
        </w:rPr>
      </w:pPr>
      <w:r w:rsidDel="00000000" w:rsidR="00000000" w:rsidRPr="00000000">
        <w:rPr>
          <w:rtl w:val="0"/>
        </w:rPr>
      </w:r>
    </w:p>
    <w:p w:rsidR="00000000" w:rsidDel="00000000" w:rsidP="00000000" w:rsidRDefault="00000000" w:rsidRPr="00000000" w14:paraId="00000019">
      <w:pPr>
        <w:ind w:firstLine="578"/>
        <w:jc w:val="both"/>
        <w:rPr>
          <w:sz w:val="32"/>
          <w:szCs w:val="32"/>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AC50E3"/>
    <w:pPr>
      <w:spacing w:after="0" w:line="240" w:lineRule="auto"/>
    </w:pPr>
    <w:rPr>
      <w:rFonts w:ascii="Times New Roman" w:cs="Times New Roman" w:eastAsia="Times New Roman" w:hAnsi="Times New Roman"/>
      <w:sz w:val="24"/>
      <w:szCs w:val="24"/>
      <w:lang w:eastAsia="ru-RU"/>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rmal (Web)"/>
    <w:aliases w:val="Обычный (Web),Обычный (веб) Знак Знак,Обычный (веб) Знак1 Знак Знак,Обычный (веб) Знак Знак Знак Знак, Знак Знак2 Знак Знак Знак,Обычный (веб) Знак1 Знак,Обычный (веб) Знак Знак Знак, Знак Знак2 Знак Знак"/>
    <w:basedOn w:val="a"/>
    <w:link w:val="a4"/>
    <w:uiPriority w:val="99"/>
    <w:rsid w:val="00AC50E3"/>
    <w:pPr>
      <w:spacing w:after="100" w:afterAutospacing="1" w:before="100" w:beforeAutospacing="1"/>
    </w:pPr>
    <w:rPr>
      <w:szCs w:val="20"/>
      <w:lang w:val="x-none"/>
    </w:rPr>
  </w:style>
  <w:style w:type="character" w:styleId="a4" w:customStyle="1">
    <w:name w:val="Обычный (веб) Знак"/>
    <w:aliases w:val="Обычный (Web) Знак,Обычный (веб) Знак Знак Знак1,Обычный (веб) Знак1 Знак Знак Знак,Обычный (веб) Знак Знак Знак Знак Знак, Знак Знак2 Знак Знак Знак Знак,Обычный (веб) Знак1 Знак Знак1,Обычный (веб) Знак Знак Знак Знак1"/>
    <w:link w:val="a3"/>
    <w:uiPriority w:val="99"/>
    <w:locked w:val="1"/>
    <w:rsid w:val="00AC50E3"/>
    <w:rPr>
      <w:rFonts w:ascii="Times New Roman" w:cs="Times New Roman" w:eastAsia="Times New Roman" w:hAnsi="Times New Roman"/>
      <w:sz w:val="24"/>
      <w:szCs w:val="20"/>
      <w:lang w:eastAsia="ru-RU" w:val="x-none"/>
    </w:rPr>
  </w:style>
  <w:style w:type="character" w:styleId="a5">
    <w:name w:val="Emphasis"/>
    <w:basedOn w:val="a0"/>
    <w:qFormat w:val="1"/>
    <w:rsid w:val="00647CA2"/>
    <w:rPr>
      <w:i w:val="1"/>
      <w:iCs w:val="1"/>
    </w:rPr>
  </w:style>
  <w:style w:type="paragraph" w:styleId="2" w:customStyle="1">
    <w:name w:val="Знак2 Знак Знак Знак Знак Знак Знак Знак Знак"/>
    <w:basedOn w:val="a"/>
    <w:rsid w:val="00301774"/>
    <w:pPr>
      <w:spacing w:after="100" w:afterAutospacing="1" w:before="100" w:beforeAutospacing="1"/>
      <w:jc w:val="both"/>
    </w:pPr>
    <w:rPr>
      <w:rFonts w:ascii="Tahoma" w:hAnsi="Tahoma"/>
      <w:sz w:val="20"/>
      <w:szCs w:val="20"/>
      <w:lang w:eastAsia="en-US" w:val="en-US"/>
    </w:rPr>
  </w:style>
  <w:style w:type="character" w:styleId="a6">
    <w:name w:val="Intense Emphasis"/>
    <w:basedOn w:val="a0"/>
    <w:uiPriority w:val="21"/>
    <w:qFormat w:val="1"/>
    <w:rsid w:val="00301774"/>
    <w:rPr>
      <w:i w:val="1"/>
      <w:iCs w:val="1"/>
      <w:color w:val="5b9bd5" w:themeColor="accent1"/>
    </w:rPr>
  </w:style>
  <w:style w:type="paragraph" w:styleId="a7">
    <w:name w:val="No Spacing"/>
    <w:uiPriority w:val="1"/>
    <w:qFormat w:val="1"/>
    <w:rsid w:val="0039443A"/>
    <w:pPr>
      <w:spacing w:after="0" w:line="240" w:lineRule="auto"/>
    </w:pPr>
    <w:rPr>
      <w:rFonts w:ascii="Times New Roman" w:cs="Times New Roman" w:eastAsia="Times New Roman" w:hAnsi="Times New Roman"/>
      <w:sz w:val="24"/>
      <w:szCs w:val="24"/>
      <w:lang w:eastAsia="ru-RU"/>
    </w:rPr>
  </w:style>
  <w:style w:type="character" w:styleId="a8">
    <w:name w:val="Subtle Emphasis"/>
    <w:basedOn w:val="a0"/>
    <w:uiPriority w:val="19"/>
    <w:qFormat w:val="1"/>
    <w:rsid w:val="0039443A"/>
    <w:rPr>
      <w:i w:val="1"/>
      <w:iCs w:val="1"/>
      <w:color w:val="404040" w:themeColor="text1" w:themeTint="0000BF"/>
    </w:rPr>
  </w:style>
  <w:style w:type="character" w:styleId="a9">
    <w:name w:val="Strong"/>
    <w:basedOn w:val="a0"/>
    <w:uiPriority w:val="22"/>
    <w:qFormat w:val="1"/>
    <w:rsid w:val="00623B60"/>
    <w:rPr>
      <w:b w:val="1"/>
      <w:bCs w:val="1"/>
    </w:rPr>
  </w:style>
  <w:style w:type="paragraph" w:styleId="aa">
    <w:name w:val="Balloon Text"/>
    <w:basedOn w:val="a"/>
    <w:link w:val="ab"/>
    <w:uiPriority w:val="99"/>
    <w:semiHidden w:val="1"/>
    <w:unhideWhenUsed w:val="1"/>
    <w:rsid w:val="0089098E"/>
    <w:rPr>
      <w:rFonts w:ascii="Segoe UI" w:cs="Segoe UI" w:hAnsi="Segoe UI"/>
      <w:sz w:val="18"/>
      <w:szCs w:val="18"/>
    </w:rPr>
  </w:style>
  <w:style w:type="character" w:styleId="ab" w:customStyle="1">
    <w:name w:val="Текст выноски Знак"/>
    <w:basedOn w:val="a0"/>
    <w:link w:val="aa"/>
    <w:uiPriority w:val="99"/>
    <w:semiHidden w:val="1"/>
    <w:rsid w:val="0089098E"/>
    <w:rPr>
      <w:rFonts w:ascii="Segoe UI" w:cs="Segoe UI" w:eastAsia="Times New Roman" w:hAnsi="Segoe UI"/>
      <w:sz w:val="18"/>
      <w:szCs w:val="18"/>
      <w:lang w:eastAsia="ru-RU"/>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gm5yiBVZBiq29zmyJeaj8F+AyA==">AMUW2mWQ5ybinNaXryRmWn5gMaIOPOKhRrajDHDPngkd/H6HAxam5KB9Vq1UjvBoC9bja/7R1ToX1CNmlc1fBENvhBlNN0VWeQX00eYPQi+lIfZ2Yo2AlilGD+ZMJulbQeZZ8ntk5j6h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2021-03-04T06:30:00Z</dcterms:created>
  <dc:creator>User</dc:creator>
</cp:coreProperties>
</file>